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jc w:val="center"/>
      </w:pPr>
      <w:r>
        <w:rPr>
          <w:b/>
          <w:bCs/>
          <w:rtl w:val="0"/>
          <w:lang w:val="en-US"/>
        </w:rPr>
        <w:t>KRA Setting &amp; Performance Evaluation - Period of Appraisal 202</w:t>
      </w:r>
      <w:r>
        <w:rPr>
          <w:b/>
          <w:bCs/>
          <w:rtl w:val="0"/>
        </w:rPr>
        <w:t>2</w:t>
      </w:r>
      <w:r>
        <w:rPr>
          <w:b/>
          <w:bCs/>
          <w:rtl w:val="0"/>
          <w:lang w:val="en-US"/>
        </w:rPr>
        <w:t>-2</w:t>
      </w:r>
      <w:r>
        <w:rPr>
          <w:b/>
          <w:bCs/>
          <w:rtl w:val="0"/>
        </w:rPr>
        <w:t>3</w:t>
      </w:r>
    </w:p>
    <w:p>
      <w:pPr>
        <w:pStyle w:val="4"/>
        <w:framePr w:wrap="auto" w:vAnchor="margin" w:hAnchor="text" w:yAlign="inline"/>
        <w:jc w:val="center"/>
        <w:rPr>
          <w:b/>
          <w:bCs/>
        </w:rPr>
      </w:pPr>
    </w:p>
    <w:tbl>
      <w:tblPr>
        <w:tblStyle w:val="3"/>
        <w:tblW w:w="129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634"/>
        <w:gridCol w:w="1443"/>
        <w:gridCol w:w="3105"/>
        <w:gridCol w:w="1141"/>
        <w:gridCol w:w="325"/>
        <w:gridCol w:w="2887"/>
        <w:gridCol w:w="635"/>
        <w:gridCol w:w="160"/>
        <w:gridCol w:w="597"/>
        <w:gridCol w:w="429"/>
        <w:gridCol w:w="10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Name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suppressAutoHyphens w:val="0"/>
              <w:rPr>
                <w:rFonts w:hint="default" w:ascii="Calibri" w:hAnsi="Calibri"/>
                <w:color w:val="00000A"/>
                <w:sz w:val="20"/>
                <w:szCs w:val="20"/>
                <w:rtl w:val="0"/>
                <w:lang w:val="en-US"/>
              </w:rPr>
            </w:pPr>
            <w:r>
              <w:rPr>
                <w:rFonts w:hint="default"/>
                <w:color w:val="00000A"/>
                <w:sz w:val="20"/>
                <w:szCs w:val="20"/>
                <w:rtl w:val="0"/>
                <w:lang w:val="en-US"/>
              </w:rPr>
              <w:t>Pranjali Dnyandev Maske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Employee No.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  <w:rPr>
                <w:rFonts w:hint="default"/>
                <w:rtl w:val="0"/>
                <w:lang w:val="en-US"/>
              </w:rPr>
            </w:pPr>
            <w:r>
              <w:rPr>
                <w:rFonts w:hint="default"/>
                <w:rtl w:val="0"/>
                <w:lang w:val="en-US"/>
              </w:rPr>
              <w:t>54</w:t>
            </w:r>
          </w:p>
        </w:tc>
        <w:tc>
          <w:tcPr>
            <w:tcW w:w="79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Grade</w:t>
            </w:r>
          </w:p>
        </w:tc>
        <w:tc>
          <w:tcPr>
            <w:tcW w:w="21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Title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shd w:val="clear" w:color="auto" w:fill="auto"/>
                <w:rtl w:val="0"/>
                <w:lang w:val="en-US"/>
              </w:rPr>
              <w:t>Senior Software Developer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fr-FR"/>
              </w:rPr>
              <w:t>Location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Pune HO</w:t>
            </w:r>
          </w:p>
        </w:tc>
        <w:tc>
          <w:tcPr>
            <w:tcW w:w="79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fr-FR"/>
              </w:rPr>
              <w:t>Dept.</w:t>
            </w:r>
          </w:p>
        </w:tc>
        <w:tc>
          <w:tcPr>
            <w:tcW w:w="212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both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Information Technology &amp; System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Sr. No.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Key Result Areas</w:t>
            </w:r>
          </w:p>
        </w:tc>
        <w:tc>
          <w:tcPr>
            <w:tcW w:w="310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Tasks to Satisfy the Requirement</w:t>
            </w:r>
          </w:p>
        </w:tc>
        <w:tc>
          <w:tcPr>
            <w:tcW w:w="114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Weightage for KRA (out of 10)</w:t>
            </w:r>
          </w:p>
        </w:tc>
        <w:tc>
          <w:tcPr>
            <w:tcW w:w="3212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Agreed Measure (Deadline, % completion, % achievement, Order value, etc.)</w:t>
            </w:r>
          </w:p>
        </w:tc>
        <w:tc>
          <w:tcPr>
            <w:tcW w:w="139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Mid-Year Rating                   </w:t>
            </w:r>
          </w:p>
        </w:tc>
        <w:tc>
          <w:tcPr>
            <w:tcW w:w="152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Full-Year Rating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shd w:val="clear" w:color="auto" w:fill="CED7E7"/>
          </w:tcPr>
          <w:p/>
        </w:tc>
        <w:tc>
          <w:tcPr>
            <w:tcW w:w="2077" w:type="dxa"/>
            <w:gridSpan w:val="2"/>
            <w:vMerge w:val="continue"/>
            <w:shd w:val="clear" w:color="auto" w:fill="CED7E7"/>
          </w:tcPr>
          <w:p/>
        </w:tc>
        <w:tc>
          <w:tcPr>
            <w:tcW w:w="3105" w:type="dxa"/>
            <w:vMerge w:val="continue"/>
            <w:shd w:val="clear" w:color="auto" w:fill="CED7E7"/>
          </w:tcPr>
          <w:p/>
        </w:tc>
        <w:tc>
          <w:tcPr>
            <w:tcW w:w="1141" w:type="dxa"/>
            <w:vMerge w:val="continue"/>
            <w:shd w:val="clear" w:color="auto" w:fill="CED7E7"/>
          </w:tcPr>
          <w:p/>
        </w:tc>
        <w:tc>
          <w:tcPr>
            <w:tcW w:w="3212" w:type="dxa"/>
            <w:gridSpan w:val="2"/>
            <w:vMerge w:val="continue"/>
            <w:shd w:val="clear" w:color="auto" w:fill="CED7E7"/>
          </w:tcPr>
          <w:p/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Self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Appraiser</w:t>
            </w: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Self</w:t>
            </w: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Appraiser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Pending Ticket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shd w:val="clear" w:color="auto" w:fill="auto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Q3 -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&lt;60 days – 3 marks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61-75 days – 1.5 marks</w:t>
            </w:r>
          </w:p>
          <w:p>
            <w:pPr>
              <w:pStyle w:val="8"/>
              <w:framePr w:wrap="auto" w:vAnchor="margin" w:hAnchor="text" w:yAlign="inline"/>
              <w:numPr>
                <w:ilvl w:val="0"/>
                <w:numId w:val="0"/>
              </w:numPr>
              <w:bidi w:val="0"/>
              <w:ind w:left="0" w:right="0" w:firstLine="0"/>
              <w:jc w:val="left"/>
              <w:rPr>
                <w:b/>
                <w:bCs/>
                <w:i/>
                <w:iCs/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>76-90 days – 1 mark</w:t>
            </w:r>
          </w:p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shd w:val="clear" w:color="auto" w:fill="auto"/>
                <w:lang w:val="en-US"/>
              </w:rPr>
            </w:pP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Q4 - 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&lt; 45 days – 3 marks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46-60 days – 1.5 marks</w:t>
            </w:r>
          </w:p>
          <w:p>
            <w:pPr>
              <w:pStyle w:val="8"/>
              <w:framePr w:wrap="auto" w:vAnchor="margin" w:hAnchor="text" w:yAlign="inline"/>
              <w:numPr>
                <w:ilvl w:val="0"/>
                <w:numId w:val="0"/>
              </w:numP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>61-90 days – 1 mark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rtl w:val="0"/>
                <w:lang w:val="en-US"/>
              </w:r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Avg Solution Days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shd w:val="clear" w:color="auto" w:fill="auto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Q3 - Same as Point One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Q4 - 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&lt; 60 days – 3 marks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61-90 days – 1.5 marks</w:t>
            </w:r>
          </w:p>
          <w:p>
            <w:pPr>
              <w:pStyle w:val="8"/>
              <w:framePr w:wrap="auto" w:vAnchor="margin" w:hAnchor="text" w:yAlign="inline"/>
              <w:numPr>
                <w:ilvl w:val="0"/>
                <w:numId w:val="0"/>
              </w:numP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>91-120 days – 1 mark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Tickets solved after Excepted date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shd w:val="clear" w:color="auto" w:fill="auto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0 tickets - 1</w:t>
            </w: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1-2 tickets – 0.5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rtl w:val="0"/>
              </w:rPr>
            </w:pPr>
            <w:r>
              <w:rPr>
                <w:b/>
                <w:bCs/>
                <w:i/>
                <w:iCs/>
                <w:rtl w:val="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Code com</w:t>
            </w:r>
            <w:r>
              <w:rPr>
                <w:rFonts w:hint="default"/>
                <w:b/>
                <w:bCs/>
                <w:shd w:val="clear" w:color="auto" w:fill="auto"/>
                <w:rtl w:val="0"/>
                <w:lang w:val="en-US"/>
              </w:rPr>
              <w:t>s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>menting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shd w:val="clear" w:color="auto" w:fill="auto"/>
                <w:rtl w:val="0"/>
                <w:lang w:val="en-US"/>
              </w:rPr>
              <w:t>Code commenting, and review before deployment.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Knowledge Transfer Topic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shd w:val="clear" w:color="auto" w:fill="auto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Senior &amp; TL - 1 per quarter </w:t>
            </w:r>
          </w:p>
          <w:p>
            <w:pPr>
              <w:pStyle w:val="8"/>
              <w:framePr w:wrap="auto" w:vAnchor="margin" w:hAnchor="text" w:yAlign="inline"/>
              <w:numPr>
                <w:ilvl w:val="0"/>
                <w:numId w:val="0"/>
              </w:numP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>Score depends on the KT content and knowledge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rFonts w:hint="default"/>
                <w:b/>
                <w:bCs/>
                <w:i/>
                <w:iCs/>
                <w:rtl w:val="0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rtl w:val="0"/>
                <w:lang w:val="en-US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numPr>
                <w:ilvl w:val="0"/>
                <w:numId w:val="0"/>
              </w:numPr>
            </w:pPr>
            <w:r>
              <w:rPr>
                <w:b/>
                <w:bCs/>
                <w:i/>
                <w:iCs/>
                <w:shd w:val="clear" w:color="auto" w:fill="auto"/>
                <w:lang w:val="en-US"/>
              </w:rPr>
              <w:t xml:space="preserve">Behavior and Sincerity 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1.5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shd w:val="clear" w:color="auto" w:fill="auto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Good communication with Internal and External department User - 1 Marks </w:t>
            </w:r>
          </w:p>
          <w:p>
            <w:pPr>
              <w:pStyle w:val="8"/>
              <w:framePr w:wrap="auto" w:vAnchor="margin" w:hAnchor="text" w:yAlign="inline"/>
              <w:rPr>
                <w:b/>
                <w:bCs/>
                <w:i/>
                <w:iCs/>
                <w:shd w:val="clear" w:color="auto" w:fill="auto"/>
                <w:lang w:val="en-US"/>
              </w:rPr>
            </w:pPr>
          </w:p>
          <w:p>
            <w:pPr>
              <w:pStyle w:val="8"/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 xml:space="preserve">Sincerity - 0.5 Marks 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</w:pPr>
            <w:r>
              <w:rPr>
                <w:b/>
                <w:bCs/>
                <w:i/>
                <w:iCs/>
                <w:shd w:val="clear" w:color="auto" w:fill="auto"/>
                <w:rtl w:val="0"/>
                <w:lang w:val="en-US"/>
              </w:rPr>
              <w:t>Total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jc w:val="center"/>
            </w:pPr>
            <w:r>
              <w:rPr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suppressAutoHyphens w:val="0"/>
              <w:rPr>
                <w:rFonts w:hint="default" w:ascii="Calibri" w:hAnsi="Calibri"/>
                <w:color w:val="00000A"/>
                <w:sz w:val="20"/>
                <w:szCs w:val="20"/>
                <w:rtl w:val="0"/>
                <w:lang w:val="en-US"/>
              </w:rPr>
            </w:pPr>
            <w:r>
              <w:rPr>
                <w:rFonts w:hint="default"/>
                <w:color w:val="00000A"/>
                <w:sz w:val="20"/>
                <w:szCs w:val="20"/>
                <w:rtl w:val="0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4"/>
        <w:framePr w:wrap="auto" w:vAnchor="margin" w:hAnchor="text" w:yAlign="inline"/>
        <w:widowControl w:val="0"/>
        <w:ind w:left="324" w:hanging="324"/>
        <w:jc w:val="center"/>
        <w:rPr>
          <w:b/>
          <w:bCs/>
        </w:rPr>
      </w:pPr>
    </w:p>
    <w:p>
      <w:pPr>
        <w:pStyle w:val="4"/>
        <w:framePr w:wrap="auto" w:vAnchor="margin" w:hAnchor="text" w:yAlign="inline"/>
        <w:widowControl w:val="0"/>
        <w:ind w:left="216" w:hanging="216"/>
        <w:jc w:val="center"/>
        <w:rPr>
          <w:b/>
          <w:bCs/>
        </w:rPr>
      </w:pPr>
    </w:p>
    <w:p>
      <w:pPr>
        <w:pStyle w:val="4"/>
        <w:framePr w:wrap="auto" w:vAnchor="margin" w:hAnchor="text" w:yAlign="inline"/>
        <w:widowControl w:val="0"/>
        <w:ind w:left="108" w:hanging="108"/>
        <w:jc w:val="center"/>
        <w:rPr>
          <w:b/>
          <w:bCs/>
        </w:rPr>
      </w:pPr>
    </w:p>
    <w:p>
      <w:pPr>
        <w:pStyle w:val="4"/>
        <w:framePr w:wrap="auto" w:vAnchor="margin" w:hAnchor="text" w:yAlign="inline"/>
        <w:widowControl w:val="0"/>
        <w:jc w:val="center"/>
        <w:rPr>
          <w:b/>
          <w:bCs/>
        </w:rPr>
      </w:pPr>
    </w:p>
    <w:p>
      <w:pPr>
        <w:pStyle w:val="8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8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8"/>
        <w:framePr w:wrap="auto" w:vAnchor="margin" w:hAnchor="text" w:yAlign="inline"/>
        <w:jc w:val="both"/>
      </w:pPr>
      <w:r>
        <w:rPr>
          <w:b/>
          <w:bCs/>
          <w:u w:val="single"/>
          <w:rtl w:val="0"/>
          <w:lang w:val="en-US"/>
        </w:rPr>
        <w:t>Specific Feedback &amp; Remarks</w:t>
      </w:r>
    </w:p>
    <w:p>
      <w:pPr>
        <w:pStyle w:val="8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8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8"/>
        <w:framePr w:wrap="auto" w:vAnchor="margin" w:hAnchor="text" w:yAlign="inline"/>
        <w:jc w:val="both"/>
      </w:pPr>
      <w:r>
        <w:rPr>
          <w:b/>
          <w:bCs/>
          <w:rtl w:val="0"/>
          <w:lang w:val="en-US"/>
        </w:rPr>
        <w:t>Appraisee’s Signature:</w:t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ab/>
      </w:r>
      <w:r>
        <w:rPr>
          <w:b/>
          <w:bCs/>
          <w:rtl w:val="0"/>
          <w:lang w:val="en-US"/>
        </w:rPr>
        <w:t>Appraiser’s Signature:</w:t>
      </w:r>
    </w:p>
    <w:sectPr>
      <w:headerReference r:id="rId5" w:type="default"/>
      <w:footerReference r:id="rId6" w:type="default"/>
      <w:pgSz w:w="15840" w:h="12240" w:orient="landscape"/>
      <w:pgMar w:top="1584" w:right="1440" w:bottom="1440" w:left="1440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style="position:absolute;left:0pt;margin-left:0pt;margin-top:0pt;height:612pt;width:792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2/mqtQAAAAHAQAADwAAAAAA&#10;AAABACAAAAAiAAAAZHJzL2Rvd25yZXYueG1sUEsBAhQAFAAAAAgAh07iQMVGe0zeAQAAzQMAAA4A&#10;AAAAAAAAAQAgAAAAIwEAAGRycy9lMm9Eb2MueG1sUEsFBgAAAAAGAAYAWQEAAHM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51BF234"/>
    <w:rsid w:val="051BF234"/>
    <w:rsid w:val="07EC566F"/>
    <w:rsid w:val="0F18CF43"/>
    <w:rsid w:val="1CBBBF03"/>
    <w:rsid w:val="2EB8D59E"/>
    <w:rsid w:val="33FCFFA8"/>
    <w:rsid w:val="38307DB2"/>
    <w:rsid w:val="43B87924"/>
    <w:rsid w:val="476415E7"/>
    <w:rsid w:val="4C44E21C"/>
    <w:rsid w:val="52A9704D"/>
    <w:rsid w:val="5B732B8D"/>
    <w:rsid w:val="66A30407"/>
    <w:rsid w:val="6922B42F"/>
    <w:rsid w:val="6BBFC15A"/>
    <w:rsid w:val="6C3B4E75"/>
    <w:rsid w:val="78F51AF3"/>
    <w:rsid w:val="7AFE302F"/>
    <w:rsid w:val="7DDC321A"/>
    <w:rsid w:val="AFF2E184"/>
    <w:rsid w:val="FCFF3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320"/>
        <w:tab w:val="right" w:pos="8640"/>
      </w:tabs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A"/>
      <w:spacing w:val="0"/>
      <w:w w:val="100"/>
      <w:kern w:val="0"/>
      <w:position w:val="0"/>
      <w:sz w:val="24"/>
      <w:szCs w:val="24"/>
      <w:u w:val="none" w:color="00000A"/>
      <w:shd w:val="clear" w:color="auto" w:fill="auto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Header &amp; Footer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8">
    <w:name w:val="Normal0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A"/>
      <w:spacing w:val="0"/>
      <w:w w:val="100"/>
      <w:kern w:val="0"/>
      <w:position w:val="0"/>
      <w:sz w:val="20"/>
      <w:szCs w:val="20"/>
      <w:u w:val="none" w:color="00000A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2022-04-07T07:28:00Z</dcterms:created>
  <dc:creator>Data</dc:creator>
  <cp:lastModifiedBy>user</cp:lastModifiedBy>
  <dcterms:modified xsi:type="dcterms:W3CDTF">2023-01-10T06:32:54Z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CD9D10E0DAE04F5996214E933B16FE33</vt:lpwstr>
  </property>
</Properties>
</file>