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Amruta Kore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956613749488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KFFPK6741N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300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7500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Nov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7500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Seven Thousand Five Hundred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Amruta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5D8369F1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4D344E9DD3964681BD6323ACBA9D9D13_13</vt:lpwstr>
  </property>
</Properties>
</file>