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rPr>
      </w:pPr>
      <w:r>
        <w:rPr>
          <w:i w:val="0"/>
          <w:iCs w:val="0"/>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w:t>
                  </w:r>
                </w:p>
              </w:txbxContent>
            </v:textbox>
          </v:rect>
        </w:pict>
      </w:r>
      <w:r>
        <w:rPr>
          <w:i w:val="0"/>
          <w:iCs w:val="0"/>
          <w:sz w:val="24"/>
          <w:szCs w:val="24"/>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7" w:name="_Company#582980264"/>
                  <w:r>
                    <w:rPr>
                      <w:rFonts w:hint="default" w:ascii="Calibri" w:hAnsi="Calibri" w:eastAsia="SimSun" w:cs="Calibri"/>
                      <w:b/>
                      <w:bCs/>
                      <w:color w:val="FFFFFF"/>
                      <w:kern w:val="2"/>
                      <w:sz w:val="54"/>
                      <w:szCs w:val="54"/>
                      <w:lang w:val="en-US" w:eastAsia="zh-CN"/>
                    </w:rPr>
                    <w:t>Handover Document</w:t>
                  </w:r>
                </w:p>
                <w:bookmarkEnd w:id="17"/>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i w:val="0"/>
          <w:iCs w:val="0"/>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rPr>
          </w:pPr>
        </w:p>
        <w:p>
          <w:pPr>
            <w:pStyle w:val="9"/>
            <w:tabs>
              <w:tab w:val="right" w:leader="dot" w:pos="8306"/>
            </w:tabs>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_Toc18410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1. TICKET DETAILS</w:t>
          </w:r>
          <w:r>
            <w:tab/>
          </w:r>
          <w:r>
            <w:fldChar w:fldCharType="begin"/>
          </w:r>
          <w:r>
            <w:instrText xml:space="preserve"> PAGEREF _Toc18410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_Toc30170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2. INTRODUCTION</w:t>
          </w:r>
          <w:r>
            <w:tab/>
          </w:r>
          <w:r>
            <w:fldChar w:fldCharType="begin"/>
          </w:r>
          <w:r>
            <w:instrText xml:space="preserve"> PAGEREF _Toc30170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_Toc701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3. BUSINESS REQUIREMENT</w:t>
          </w:r>
          <w:r>
            <w:tab/>
          </w:r>
          <w:r>
            <w:fldChar w:fldCharType="begin"/>
          </w:r>
          <w:r>
            <w:instrText xml:space="preserve"> PAGEREF _Toc701 \h </w:instrText>
          </w:r>
          <w:r>
            <w:fldChar w:fldCharType="separate"/>
          </w:r>
          <w:r>
            <w:t>2</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_Toc2537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4. SCOPE</w:t>
          </w:r>
          <w:r>
            <w:tab/>
          </w:r>
          <w:r>
            <w:fldChar w:fldCharType="begin"/>
          </w:r>
          <w:r>
            <w:instrText xml:space="preserve"> PAGEREF _Toc2537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_Toc21783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5. BUSINESS &amp; SYSTEM RULES</w:t>
          </w:r>
          <w:r>
            <w:tab/>
          </w:r>
          <w:r>
            <w:fldChar w:fldCharType="begin"/>
          </w:r>
          <w:r>
            <w:instrText xml:space="preserve"> PAGEREF _Toc21783 \h </w:instrText>
          </w:r>
          <w:r>
            <w:fldChar w:fldCharType="separate"/>
          </w:r>
          <w:r>
            <w:t>3</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_Toc21225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6. ABBREVIATIONS &amp; TERMS</w:t>
          </w:r>
          <w:r>
            <w:tab/>
          </w:r>
          <w:r>
            <w:fldChar w:fldCharType="begin"/>
          </w:r>
          <w:r>
            <w:instrText xml:space="preserve"> PAGEREF _Toc21225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_Toc30483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7. GRAPHICAL REPRESENTATION</w:t>
          </w:r>
          <w:r>
            <w:tab/>
          </w:r>
          <w:r>
            <w:fldChar w:fldCharType="begin"/>
          </w:r>
          <w:r>
            <w:instrText xml:space="preserve"> PAGEREF _Toc30483 \h </w:instrText>
          </w:r>
          <w:r>
            <w:fldChar w:fldCharType="separate"/>
          </w:r>
          <w:r>
            <w:t>4</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_Toc16041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8. PROPOSED SYSTEM</w:t>
          </w:r>
          <w:r>
            <w:tab/>
          </w:r>
          <w:r>
            <w:fldChar w:fldCharType="begin"/>
          </w:r>
          <w:r>
            <w:instrText xml:space="preserve"> PAGEREF _Toc16041 \h </w:instrText>
          </w:r>
          <w:r>
            <w:fldChar w:fldCharType="separate"/>
          </w:r>
          <w:r>
            <w:t>6</w:t>
          </w:r>
          <w:r>
            <w:fldChar w:fldCharType="end"/>
          </w:r>
          <w:r>
            <w:rPr>
              <w:rFonts w:hint="default" w:asciiTheme="minorAscii" w:hAnsiTheme="minorAscii"/>
              <w:bCs/>
              <w:i w:val="0"/>
              <w:iCs w:val="0"/>
              <w:color w:val="auto"/>
              <w:szCs w:val="24"/>
              <w:lang w:val="en-US"/>
            </w:rPr>
            <w:fldChar w:fldCharType="end"/>
          </w:r>
        </w:p>
        <w:p>
          <w:pPr>
            <w:pStyle w:val="9"/>
            <w:tabs>
              <w:tab w:val="right" w:leader="dot" w:pos="8306"/>
            </w:tabs>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szCs w:val="24"/>
              <w:lang w:val="en-US"/>
            </w:rPr>
            <w:instrText xml:space="preserve"> HYPERLINK \l _Toc25816 </w:instrText>
          </w:r>
          <w:r>
            <w:rPr>
              <w:rFonts w:hint="default" w:asciiTheme="minorAscii" w:hAnsiTheme="minorAscii"/>
              <w:bCs/>
              <w:i w:val="0"/>
              <w:iCs w:val="0"/>
              <w:szCs w:val="24"/>
              <w:lang w:val="en-US"/>
            </w:rPr>
            <w:fldChar w:fldCharType="separate"/>
          </w:r>
          <w:r>
            <w:rPr>
              <w:rFonts w:hint="default" w:asciiTheme="minorAscii" w:hAnsiTheme="minorAscii"/>
              <w:bCs/>
              <w:i w:val="0"/>
              <w:iCs w:val="0"/>
              <w:color w:val="044A91" w:themeColor="hyperlink" w:themeShade="BF"/>
              <w:szCs w:val="24"/>
              <w:lang w:val="en-US"/>
            </w:rPr>
            <w:t>9. REFERENCES OF THE USERS</w:t>
          </w:r>
          <w:r>
            <w:tab/>
          </w:r>
          <w:r>
            <w:fldChar w:fldCharType="begin"/>
          </w:r>
          <w:r>
            <w:instrText xml:space="preserve"> PAGEREF _Toc25816 \h </w:instrText>
          </w:r>
          <w:r>
            <w:fldChar w:fldCharType="separate"/>
          </w:r>
          <w:r>
            <w:t>25</w:t>
          </w:r>
          <w: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18410"/>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process development in inventory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10/04/2023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30170"/>
      <w:bookmarkStart w:id="3" w:name="_Toc19520"/>
      <w:r>
        <w:rPr>
          <w:rFonts w:hint="default" w:asciiTheme="minorAscii" w:hAnsiTheme="minorAscii"/>
          <w:b/>
          <w:bCs/>
          <w:i w:val="0"/>
          <w:iCs w:val="0"/>
          <w:color w:val="2E75B6" w:themeColor="accent1" w:themeShade="BF"/>
          <w:sz w:val="24"/>
          <w:szCs w:val="24"/>
          <w:lang w:val="en-US"/>
        </w:rPr>
        <w:t>INTRODUCTION</w:t>
      </w:r>
      <w:bookmarkEnd w:id="2"/>
      <w:bookmarkEnd w:id="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Generally, following the material issue inspection by the HM check process, users assess the daily rates in accordance with the vendor. This evaluation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4" w:name="_Toc701"/>
      <w:bookmarkStart w:id="5" w:name="_Toc9350"/>
      <w:r>
        <w:rPr>
          <w:rFonts w:hint="default" w:asciiTheme="minorAscii" w:hAnsiTheme="minorAscii"/>
          <w:b/>
          <w:bCs/>
          <w:i w:val="0"/>
          <w:iCs w:val="0"/>
          <w:color w:val="2E75B6" w:themeColor="accent1" w:themeShade="BF"/>
          <w:sz w:val="24"/>
          <w:szCs w:val="24"/>
          <w:lang w:val="en-US"/>
        </w:rPr>
        <w:t>BUSINESS REQUIREMENT</w:t>
      </w:r>
      <w:bookmarkEnd w:id="4"/>
      <w:bookmarkEnd w:id="5"/>
    </w:p>
    <w:p>
      <w:pPr>
        <w:jc w:val="left"/>
        <w:rPr>
          <w:rFonts w:hint="default" w:asciiTheme="minorAscii" w:hAnsiTheme="minorAscii"/>
          <w:b w:val="0"/>
          <w:bCs w:val="0"/>
          <w:i w:val="0"/>
          <w:iCs w:val="0"/>
          <w:sz w:val="24"/>
          <w:szCs w:val="24"/>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add, edit and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following fields: Is RD purchase, rate type, fix rate, attachments.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Material issue -&gt; edit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and rate type fields will be read only once that particular document has completed HM check process.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 have to create new menu and display documents which are saved in HM check process, are RD purchase, whose rate type is unfix.</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edit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provide edit action based on authority.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edit action, user will enter the document number of purchase return and RD purchase.</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fix rate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documents are entered, then fix rate action will be displayed and edit action will be removed for that record.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Fix rate action will be provided based on authority.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Through fix rate action, user will break and fix the rate and further net amount will be calculated.</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credit and debit note numbers.</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 - view action</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 will display the details of the documents scanned. It will display the details of the break rate till now. It will display the net payable amount of that document.</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 will be enabled once fine wt for that document is 0.00</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6" w:name="_Toc2213"/>
      <w:bookmarkStart w:id="7" w:name="_Toc2537"/>
      <w:r>
        <w:rPr>
          <w:rFonts w:hint="default" w:asciiTheme="minorAscii" w:hAnsiTheme="minorAscii"/>
          <w:b/>
          <w:bCs/>
          <w:i w:val="0"/>
          <w:iCs w:val="0"/>
          <w:color w:val="2E75B6" w:themeColor="accent1" w:themeShade="BF"/>
          <w:sz w:val="24"/>
          <w:szCs w:val="24"/>
          <w:lang w:val="en-US"/>
        </w:rPr>
        <w:t>SCOPE</w:t>
      </w:r>
      <w:bookmarkEnd w:id="6"/>
      <w:bookmarkEnd w:id="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enters the challan and item details in material issue and submits it, document no. will be generated and it will be displayed in first row of material issue -&gt; grid. Once authorised user marks its as received, that document will be displayed in Design check process. User will accept / reject few pcs, gross wt and net wt and submit it. Then, accepted pcs of document will be displayed to QC check process. Then, accpted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Now, only the accepted pcs of document which are saved from HM check process, document which is marked as RD purchase yes and whose rate type is unfix,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along with net payable amount.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8" w:name="_Toc13218"/>
      <w:bookmarkStart w:id="9" w:name="_Toc21783"/>
      <w:r>
        <w:rPr>
          <w:rFonts w:hint="default" w:asciiTheme="minorAscii" w:hAnsiTheme="minorAscii"/>
          <w:b/>
          <w:bCs/>
          <w:i w:val="0"/>
          <w:iCs w:val="0"/>
          <w:color w:val="2E75B6" w:themeColor="accent1" w:themeShade="BF"/>
          <w:sz w:val="24"/>
          <w:szCs w:val="24"/>
          <w:lang w:val="en-US"/>
        </w:rPr>
        <w:t>BUSINESS &amp; SYSTEM RULES</w:t>
      </w:r>
      <w:bookmarkEnd w:id="8"/>
      <w:bookmarkEnd w:id="9"/>
      <w:r>
        <w:rPr>
          <w:rFonts w:hint="default" w:asciiTheme="minorAscii" w:hAnsiTheme="minorAscii"/>
          <w:b/>
          <w:bCs/>
          <w:i w:val="0"/>
          <w:iCs w:val="0"/>
          <w:sz w:val="24"/>
          <w:szCs w:val="24"/>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 xml:space="preserve">One document can be scanned only once in the entire menu. </w:t>
      </w:r>
    </w:p>
    <w:p>
      <w:pPr>
        <w:pStyle w:val="10"/>
        <w:numPr>
          <w:ilvl w:val="0"/>
          <w:numId w:val="0"/>
        </w:numPr>
        <w:tabs>
          <w:tab w:val="left" w:pos="420"/>
        </w:tabs>
        <w:contextualSpacing/>
        <w:jc w:val="left"/>
        <w:rPr>
          <w:rFonts w:hint="default" w:asciiTheme="minorAscii" w:hAnsiTheme="minorAscii"/>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0" w:name="_Toc4621"/>
      <w:bookmarkStart w:id="11" w:name="_Toc21225"/>
      <w:r>
        <w:rPr>
          <w:rFonts w:hint="default" w:asciiTheme="minorAscii" w:hAnsiTheme="minorAscii"/>
          <w:b/>
          <w:bCs/>
          <w:i w:val="0"/>
          <w:iCs w:val="0"/>
          <w:color w:val="2E75B6" w:themeColor="accent1" w:themeShade="BF"/>
          <w:sz w:val="24"/>
          <w:szCs w:val="24"/>
          <w:lang w:val="en-US"/>
        </w:rPr>
        <w:t>ABBREVIATIONS &amp; TERMS</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Wt - weight</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 pieces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RD - registered dealer</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30483"/>
      <w:r>
        <w:rPr>
          <w:rFonts w:hint="default" w:asciiTheme="minorAscii" w:hAnsiTheme="minorAscii"/>
          <w:b/>
          <w:bCs/>
          <w:i w:val="0"/>
          <w:iCs w:val="0"/>
          <w:color w:val="2E75B6" w:themeColor="accent1" w:themeShade="BF"/>
          <w:sz w:val="24"/>
          <w:szCs w:val="24"/>
          <w:lang w:val="en-US"/>
        </w:rPr>
        <w:t>GRAPHICAL REPRESENTATION</w:t>
      </w:r>
      <w:bookmarkEnd w:id="12"/>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 diagram</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3" w:name="_Toc16041"/>
      <w:bookmarkStart w:id="14" w:name="_Toc8631"/>
      <w:r>
        <w:rPr>
          <w:rFonts w:hint="default" w:asciiTheme="minorAscii" w:hAnsiTheme="minorAscii"/>
          <w:b/>
          <w:bCs/>
          <w:i w:val="0"/>
          <w:iCs w:val="0"/>
          <w:color w:val="2E75B6" w:themeColor="accent1" w:themeShade="BF"/>
          <w:sz w:val="24"/>
          <w:szCs w:val="24"/>
          <w:lang w:val="en-US"/>
        </w:rPr>
        <w:t>DEVELOPED SYSTEM</w:t>
      </w:r>
      <w:bookmarkEnd w:id="13"/>
      <w:bookmarkEnd w:id="14"/>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yellow"/>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rPr>
        <w:t>Rate</w:t>
      </w:r>
      <w:r>
        <w:rPr>
          <w:rFonts w:hint="default" w:ascii="Calibri" w:hAnsi="Calibri" w:eastAsia="Calibri" w:cs="Calibri"/>
          <w:b/>
          <w:bCs/>
          <w:i w:val="0"/>
          <w:iCs w:val="0"/>
          <w:sz w:val="24"/>
          <w:szCs w:val="24"/>
          <w:highlight w:val="yellow"/>
          <w:shd w:val="clear" w:fill="auto"/>
          <w:rtl w:val="0"/>
          <w:lang w:val="en-US"/>
        </w:rPr>
        <w:t xml:space="preserve"> (per gram for 99.50%)</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lang w:val="en-US"/>
        </w:rPr>
        <w:t>Unfix fine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tl w:val="0"/>
        </w:rPr>
      </w:pPr>
      <w:r>
        <w:rPr>
          <w:rFonts w:hint="default" w:ascii="Calibri" w:hAnsi="Calibri" w:eastAsia="Calibri" w:cs="Calibri"/>
          <w:b/>
          <w:bCs/>
          <w:i w:val="0"/>
          <w:iCs w:val="0"/>
          <w:sz w:val="24"/>
          <w:szCs w:val="24"/>
          <w:highlight w:val="yellow"/>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This specifies whether this document is purchased from registered dealer or not.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Initially none of the type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yellow"/>
                <w:shd w:val="clear" w:fill="auto"/>
                <w:vertAlign w:val="baseline"/>
                <w:rtl w:val="0"/>
                <w:lang w:val="en-US"/>
              </w:rPr>
              <w:t>Initially, none of the type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Fix Rate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yellow"/>
                <w:shd w:val="clear" w:fill="auto"/>
                <w:vertAlign w:val="baseline"/>
                <w:rtl w:val="0"/>
                <w:lang w:val="en-US"/>
              </w:rPr>
              <w:t xml:space="preserve">User will mention the rate of per gram.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w:t>
            </w:r>
            <w:r>
              <w:rPr>
                <w:rFonts w:hint="default" w:cs="Calibri"/>
                <w:b w:val="0"/>
                <w:sz w:val="24"/>
                <w:szCs w:val="24"/>
                <w:highlight w:val="yellow"/>
                <w:shd w:val="clear" w:fill="auto"/>
                <w:vertAlign w:val="baseline"/>
                <w:rtl w:val="0"/>
                <w:lang w:val="en-US"/>
              </w:rPr>
              <w:t xml:space="preserve"> In add and both edit actions, </w:t>
            </w:r>
            <w:r>
              <w:rPr>
                <w:rFonts w:hint="default" w:cs="Calibri"/>
                <w:b w:val="0"/>
                <w:sz w:val="24"/>
                <w:szCs w:val="24"/>
                <w:highlight w:val="none"/>
                <w:shd w:val="clear" w:fill="auto"/>
                <w:vertAlign w:val="baseline"/>
                <w:rtl w:val="0"/>
                <w:lang w:val="en-US"/>
              </w:rPr>
              <w:t>i</w:t>
            </w:r>
            <w:r>
              <w:rPr>
                <w:rFonts w:hint="default" w:cs="Calibri"/>
                <w:b w:val="0"/>
                <w:sz w:val="24"/>
                <w:szCs w:val="24"/>
                <w:highlight w:val="yellow"/>
                <w:shd w:val="clear" w:fill="auto"/>
                <w:vertAlign w:val="baseline"/>
                <w:rtl w:val="0"/>
                <w:lang w:val="en-US"/>
              </w:rPr>
              <w:t xml:space="preserve">t will accept only 4 digits before decimal point and after decimal point. </w:t>
            </w:r>
            <w:r>
              <w:rPr>
                <w:rFonts w:hint="default" w:cs="Calibri"/>
                <w:b w:val="0"/>
                <w:sz w:val="24"/>
                <w:szCs w:val="24"/>
                <w:highlight w:val="none"/>
                <w:shd w:val="clear" w:fill="auto"/>
                <w:vertAlign w:val="baseline"/>
                <w:rtl w:val="0"/>
                <w:lang w:val="en-US"/>
              </w:rPr>
              <w:t xml:space="preserve">It will accept numbers only. It will accept only one decimal point as a special character. </w:t>
            </w: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Min length = 1</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yellow"/>
                <w:shd w:val="clear" w:fill="auto"/>
                <w:vertAlign w:val="baseline"/>
                <w:rtl w:val="0"/>
                <w:lang w:val="en-US"/>
              </w:rPr>
              <w:t>Max length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It will be rate of 100% purity. It will get auto calculated and displayed once user enters unfix rate in above field.</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asciiTheme="minorHAnsi" w:hAnsiTheme="minorHAnsi" w:eastAsiaTheme="minorEastAsia"/>
                <w:b w:val="0"/>
                <w:sz w:val="24"/>
                <w:szCs w:val="24"/>
                <w:highlight w:val="yellow"/>
                <w:shd w:val="clear" w:fill="auto"/>
                <w:vertAlign w:val="baseline"/>
                <w:rtl w:val="0"/>
                <w:lang w:val="en-US" w:eastAsia="zh-CN" w:bidi="ar-SA"/>
              </w:rPr>
            </w:pPr>
            <w:r>
              <w:rPr>
                <w:rFonts w:hint="default" w:cs="Calibri"/>
                <w:b w:val="0"/>
                <w:sz w:val="24"/>
                <w:szCs w:val="24"/>
                <w:highlight w:val="yellow"/>
                <w:shd w:val="clear" w:fill="auto"/>
                <w:vertAlign w:val="baseline"/>
                <w:rtl w:val="0"/>
                <w:lang w:val="en-US"/>
              </w:rPr>
              <w:t>Validation: It will be read only. It will round upto 3 decimals after decimal point when fourth di</w:t>
            </w:r>
            <w:bookmarkStart w:id="18" w:name="_GoBack"/>
            <w:bookmarkEnd w:id="18"/>
            <w:r>
              <w:rPr>
                <w:rFonts w:hint="default" w:cs="Calibri"/>
                <w:b w:val="0"/>
                <w:sz w:val="24"/>
                <w:szCs w:val="24"/>
                <w:highlight w:val="yellow"/>
                <w:shd w:val="clear" w:fill="auto"/>
                <w:vertAlign w:val="baseline"/>
                <w:rtl w:val="0"/>
                <w:lang w:val="en-US"/>
              </w:rPr>
              <w:t>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Upload</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left"/>
        <w:rPr>
          <w:rFonts w:hint="default" w:asciiTheme="minorAscii" w:hAnsiTheme="minorAscii"/>
          <w:b w:val="0"/>
          <w:bCs w:val="0"/>
          <w:i w:val="0"/>
          <w:iCs w:val="0"/>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lang w:val="en-US"/>
        </w:rPr>
      </w:pPr>
    </w:p>
    <w:p>
      <w:pPr>
        <w:jc w:val="left"/>
        <w:rPr>
          <w:sz w:val="24"/>
          <w:szCs w:val="24"/>
        </w:rPr>
      </w:pPr>
      <w:r>
        <w:rPr>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Material issue -&gt; grid</w:t>
      </w:r>
    </w:p>
    <w:p>
      <w:pPr>
        <w:jc w:val="left"/>
        <w:rPr>
          <w:rFonts w:hint="default"/>
          <w:sz w:val="24"/>
          <w:szCs w:val="24"/>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yellow"/>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yellow"/>
          <w:shd w:val="clear" w:fill="auto"/>
          <w:rtl w:val="0"/>
          <w:lang w:val="en-US"/>
        </w:rPr>
        <w:t xml:space="preserve">the </w:t>
      </w:r>
      <w:r>
        <w:rPr>
          <w:rFonts w:hint="default" w:ascii="Calibri" w:hAnsi="Calibri" w:eastAsia="Calibri" w:cs="Calibri"/>
          <w:b w:val="0"/>
          <w:bCs w:val="0"/>
          <w:sz w:val="24"/>
          <w:szCs w:val="24"/>
          <w:highlight w:val="yellow"/>
          <w:shd w:val="clear" w:fill="auto"/>
          <w:rtl w:val="0"/>
        </w:rPr>
        <w:t>vendor via Email</w:t>
      </w:r>
      <w:r>
        <w:rPr>
          <w:rFonts w:hint="default" w:ascii="Calibri" w:hAnsi="Calibri" w:eastAsia="Calibri" w:cs="Calibri"/>
          <w:b w:val="0"/>
          <w:bCs w:val="0"/>
          <w:sz w:val="24"/>
          <w:szCs w:val="24"/>
          <w:highlight w:val="yellow"/>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lang w:val="en-US"/>
        </w:rPr>
      </w:pPr>
      <w:r>
        <w:rPr>
          <w:rFonts w:hint="default"/>
          <w:sz w:val="24"/>
          <w:szCs w:val="24"/>
          <w:lang w:val="en-US"/>
        </w:rPr>
        <w:t>Fig: HM check -&gt; generated slip</w:t>
      </w:r>
    </w:p>
    <w:p>
      <w:pPr>
        <w:jc w:val="left"/>
        <w:rPr>
          <w:rFonts w:hint="default"/>
          <w:sz w:val="24"/>
          <w:szCs w:val="24"/>
          <w:lang w:val="en-US"/>
        </w:rPr>
      </w:pPr>
    </w:p>
    <w:p>
      <w:pPr>
        <w:rPr>
          <w:rFonts w:hint="default" w:ascii="Calibri" w:hAnsi="Calibri" w:eastAsia="Calibri" w:cs="Calibri"/>
          <w:sz w:val="24"/>
          <w:szCs w:val="24"/>
          <w:highlight w:val="yellow"/>
          <w:shd w:val="clear" w:fill="auto"/>
          <w:rtl w:val="0"/>
          <w:lang w:val="en-US"/>
        </w:rPr>
      </w:pPr>
      <w:r>
        <w:rPr>
          <w:rFonts w:hint="default" w:ascii="Calibri" w:hAnsi="Calibri" w:eastAsia="Calibri" w:cs="Calibri"/>
          <w:sz w:val="24"/>
          <w:szCs w:val="24"/>
          <w:highlight w:val="yellow"/>
          <w:shd w:val="clear" w:fill="auto"/>
          <w:rtl w:val="0"/>
        </w:rPr>
        <w:t xml:space="preserve">Step 7. </w:t>
      </w:r>
      <w:r>
        <w:rPr>
          <w:rFonts w:hint="default" w:ascii="Calibri" w:hAnsi="Calibri" w:eastAsia="Calibri" w:cs="Calibri"/>
          <w:sz w:val="24"/>
          <w:szCs w:val="24"/>
          <w:highlight w:val="yellow"/>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w:t>
      </w:r>
      <w:r>
        <w:rPr>
          <w:rFonts w:hint="default" w:ascii="Calibri" w:hAnsi="Calibri" w:cs="Calibri"/>
          <w:sz w:val="24"/>
          <w:szCs w:val="24"/>
          <w:highlight w:val="none"/>
          <w:shd w:val="clear" w:fill="auto"/>
          <w:rtl w:val="0"/>
          <w:lang w:val="en-US"/>
        </w:rPr>
        <w:t xml:space="preserve"> and rate type is “unfix”</w:t>
      </w:r>
      <w:r>
        <w:rPr>
          <w:rFonts w:hint="default" w:ascii="Calibri" w:hAnsi="Calibri" w:eastAsia="Calibri" w:cs="Calibri"/>
          <w:sz w:val="24"/>
          <w:szCs w:val="24"/>
          <w:highlight w:val="none"/>
          <w:shd w:val="clear" w:fill="auto"/>
          <w:rtl w:val="0"/>
        </w:rPr>
        <w:t xml:space="preserve"> in material issue menu and have cleared HMcheck process</w:t>
      </w:r>
      <w:r>
        <w:rPr>
          <w:rFonts w:hint="default" w:ascii="Calibri" w:hAnsi="Calibri" w:eastAsia="Calibri" w:cs="Calibri"/>
          <w:sz w:val="24"/>
          <w:szCs w:val="24"/>
          <w:highlight w:val="none"/>
          <w:shd w:val="clear" w:fill="auto"/>
          <w:rtl w:val="0"/>
          <w:lang w:val="en-US"/>
        </w:rPr>
        <w:t xml:space="preserve"> will be dispayed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grid</w:t>
      </w:r>
    </w:p>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lang w:val="en-US"/>
        </w:rPr>
        <w:t xml:space="preserve">Initially, each action will have edit action where user will enter the RD purchase and purchase retruns documents from padm for that record documet.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If user still wants to proceed, user will click on ok and record will get submitted.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&amp; view action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lang w:val="en-US"/>
        </w:rPr>
      </w:pPr>
    </w:p>
    <w:p>
      <w:pPr>
        <w:jc w:val="left"/>
        <w:rPr>
          <w:rFonts w:hint="default"/>
          <w:b/>
          <w:bCs/>
          <w:sz w:val="24"/>
          <w:szCs w:val="24"/>
          <w:highlight w:val="yellow"/>
          <w:lang w:val="en-US"/>
        </w:rPr>
      </w:pPr>
      <w:r>
        <w:rPr>
          <w:rFonts w:hint="default"/>
          <w:b/>
          <w:bCs/>
          <w:sz w:val="24"/>
          <w:szCs w:val="24"/>
          <w:highlight w:val="yellow"/>
          <w:lang w:val="en-US"/>
        </w:rPr>
        <w:t xml:space="preserve">Fix rate action: </w:t>
      </w:r>
    </w:p>
    <w:p>
      <w:pPr>
        <w:jc w:val="left"/>
        <w:rPr>
          <w:rFonts w:hint="default"/>
          <w:sz w:val="24"/>
          <w:szCs w:val="24"/>
          <w:lang w:val="en-US"/>
        </w:rPr>
      </w:pPr>
      <w:r>
        <w:rPr>
          <w:rFonts w:hint="default"/>
          <w:sz w:val="24"/>
          <w:szCs w:val="24"/>
          <w:lang w:val="en-US"/>
        </w:rPr>
        <w:t xml:space="preserve">Through fix rate action, user will enter the breaking rate that has been finalized for that day for the vendor. It will be displayed based on special authority (Fixing_rate_action_in_fix_rate_module).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fine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Fix fine 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lang w:val="en-US"/>
        </w:rPr>
      </w:pPr>
    </w:p>
    <w:p>
      <w:pPr>
        <w:jc w:val="left"/>
        <w:rPr>
          <w:rFonts w:hint="default"/>
          <w:sz w:val="24"/>
          <w:szCs w:val="24"/>
          <w:lang w:val="en-US"/>
        </w:rPr>
      </w:pPr>
      <w:r>
        <w:drawing>
          <wp:inline distT="0" distB="0" distL="114300" distR="114300">
            <wp:extent cx="5266690" cy="2962910"/>
            <wp:effectExtent l="0" t="0" r="3810" b="889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Fig: Fix rate -&gt; fix rate action</w:t>
      </w:r>
    </w:p>
    <w:p>
      <w:pPr>
        <w:jc w:val="left"/>
        <w:rPr>
          <w:rFonts w:hint="default"/>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total of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unfix fine rate from material issue -&gt; add / edit / view action of that document.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cs="Calibri"/>
                <w:b w:val="0"/>
                <w:sz w:val="24"/>
                <w:szCs w:val="24"/>
                <w:highlight w:val="yellow"/>
                <w:shd w:val="clear" w:fill="auto"/>
                <w:vertAlign w:val="baseline"/>
                <w:rtl w:val="0"/>
                <w:lang w:val="en-US"/>
              </w:rPr>
              <w:t>Unfix fine rate = Unfix rate / 99.50%.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rate of per gram which has to be break for the vendor for that day.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auto-calculate and display the fix fine rate once user enters the value in breaking fix rate text field. It represents the fix rate for 100% purity.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fix fine rate = breaking fix rate /  99.50%.</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Validation: It will be read only. </w:t>
            </w:r>
            <w:r>
              <w:rPr>
                <w:rFonts w:hint="default" w:cs="Calibri"/>
                <w:b w:val="0"/>
                <w:sz w:val="24"/>
                <w:szCs w:val="24"/>
                <w:highlight w:val="yellow"/>
                <w:shd w:val="clear" w:fill="auto"/>
                <w:vertAlign w:val="baseline"/>
                <w:rtl w:val="0"/>
                <w:lang w:val="en-US"/>
              </w:rPr>
              <w:t xml:space="preserve"> It will round upto 3 decimals after decimal point when fourth didgit will be greater than equal to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ascii="Calibri" w:hAnsi="Calibri" w:eastAsia="Calibri" w:cs="Calibri"/>
                <w:b w:val="0"/>
                <w:sz w:val="24"/>
                <w:szCs w:val="24"/>
                <w:highlight w:val="yellow"/>
                <w:shd w:val="clear" w:fill="auto"/>
                <w:vertAlign w:val="baseline"/>
                <w:rtl w:val="0"/>
                <w:lang w:val="en-US"/>
              </w:rPr>
              <w:t>It will display the unfix fine rate from material issue -&gt; add / edit / view action of that document. It will be same in all record of the table as this unfix fine rate is calculated only once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fix fine rate for that record which got calculated when user entered the value in breaking fix rate text field.</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 Unfix rate - Fix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amlount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cs="Calibri"/>
                <w:sz w:val="24"/>
                <w:szCs w:val="24"/>
                <w:highlight w:val="yellow"/>
              </w:rPr>
            </w:pPr>
            <w:r>
              <w:rPr>
                <w:rFonts w:hint="default" w:ascii="Calibri" w:hAnsi="Calibri" w:cs="Calibri"/>
                <w:sz w:val="24"/>
                <w:szCs w:val="24"/>
                <w:highlight w:val="none"/>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 xml:space="preserve">rate &gt; unfix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yellow"/>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alphanumeric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View action:</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Net payable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b w:val="0"/>
          <w:sz w:val="24"/>
          <w:szCs w:val="24"/>
          <w:highlight w:val="none"/>
          <w:shd w:val="clear" w:fill="auto"/>
          <w:vertAlign w:val="baseline"/>
          <w:rtl w:val="0"/>
          <w:lang w:val="en-US"/>
        </w:rPr>
        <w:t xml:space="preserve">Submit button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2"/>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2"/>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4"/>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fine rate</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fine rate</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5"/>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5"/>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Fix rate -&gt; view action</w:t>
      </w:r>
    </w:p>
    <w:p>
      <w:pPr>
        <w:jc w:val="left"/>
        <w:rPr>
          <w:rFonts w:hint="default" w:asciiTheme="minorAscii" w:hAnsiTheme="minorAscii"/>
          <w:b w:val="0"/>
          <w:bCs w:val="0"/>
          <w:i w:val="0"/>
          <w:iCs w:val="0"/>
          <w:sz w:val="24"/>
          <w:szCs w:val="24"/>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It will display the total net amount of accepted documents I.e. RD purchase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vertAlign w:val="baseline"/>
                <w:rtl w:val="0"/>
                <w:lang w:val="en-US" w:eastAsia="zh-CN" w:bidi="ar-SA"/>
              </w:rPr>
            </w:pPr>
            <w:r>
              <w:rPr>
                <w:rFonts w:hint="default" w:asciiTheme="minorAscii" w:hAnsiTheme="minorAscii"/>
                <w:b w:val="0"/>
                <w:bCs w:val="0"/>
                <w:i w:val="0"/>
                <w:iCs w:val="0"/>
                <w:sz w:val="24"/>
                <w:szCs w:val="24"/>
                <w:vertAlign w:val="baseline"/>
                <w:lang w:val="en-US"/>
              </w:rPr>
              <w:t xml:space="preserve">It will display the total net amount of rejected documents I.e.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gross amounts of the debit notes rows in fix rate -&gt; break rate table. Do not consider its negative 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gross amounts of the credit notes rows in fix rate -&gt; break rate table. Do not consider its negative 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This button will be disabled until balance fine wt in that document is 0.00 I.e. until rate is break for entire fine wt.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enters advance amount and clicks on submit button, net payable amount will get calculated and displayed whereas submit button will be disabled. Also, advance amount field will be disabled and display entered value once submitted.</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5" w:name="_Toc719"/>
      <w:bookmarkStart w:id="16" w:name="_Toc25816"/>
      <w:r>
        <w:rPr>
          <w:rFonts w:hint="default" w:asciiTheme="minorAscii" w:hAnsiTheme="minorAscii"/>
          <w:b/>
          <w:bCs/>
          <w:i w:val="0"/>
          <w:iCs w:val="0"/>
          <w:color w:val="2E75B6" w:themeColor="accent1" w:themeShade="BF"/>
          <w:sz w:val="24"/>
          <w:szCs w:val="24"/>
          <w:lang w:val="en-US"/>
        </w:rPr>
        <w:t>REFERENCES OF THE USERS</w:t>
      </w:r>
      <w:bookmarkEnd w:id="15"/>
      <w:bookmarkEnd w:id="16"/>
      <w:r>
        <w:rPr>
          <w:rFonts w:hint="default" w:asciiTheme="minorAscii" w:hAnsiTheme="minorAscii"/>
          <w:b/>
          <w:bCs/>
          <w:i w:val="0"/>
          <w:iCs w:val="0"/>
          <w:sz w:val="24"/>
          <w:szCs w:val="24"/>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957"/>
        <w:gridCol w:w="3318"/>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19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331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1074"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Prashan Pise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Sachin Humne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Rakesh Thikane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Prathmesh shinde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 shinde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"mailto:Parthmesh.shinde@techneai.com"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Prathmesh.shinde@techneai.com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Punam.shinde@techneai.com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19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Priyanka Dupargude</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Amruta Kore</w:t>
            </w:r>
          </w:p>
        </w:tc>
        <w:tc>
          <w:tcPr>
            <w:tcW w:w="331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"mailto:Priyanka.dupargude@techneai.com" </w:instrText>
            </w:r>
            <w:r>
              <w:rPr>
                <w:rFonts w:hint="default" w:asciiTheme="minorAscii" w:hAnsiTheme="minorAscii"/>
                <w:b w:val="0"/>
                <w:bCs w:val="0"/>
                <w:i w:val="0"/>
                <w:iCs w:val="0"/>
                <w:sz w:val="24"/>
                <w:szCs w:val="24"/>
                <w:vertAlign w:val="baseline"/>
                <w:lang w:val="en-US"/>
              </w:rPr>
              <w:fldChar w:fldCharType="separate"/>
            </w:r>
            <w:r>
              <w:rPr>
                <w:rStyle w:val="7"/>
                <w:rFonts w:hint="default" w:asciiTheme="minorAscii" w:hAnsiTheme="minorAscii"/>
                <w:b w:val="0"/>
                <w:bCs w:val="0"/>
                <w:i w:val="0"/>
                <w:iCs w:val="0"/>
                <w:sz w:val="24"/>
                <w:szCs w:val="24"/>
                <w:vertAlign w:val="baseline"/>
                <w:lang w:val="en-US"/>
              </w:rPr>
              <w:t>Priyanka.dupargude@techneai.com</w:t>
            </w:r>
            <w:r>
              <w:rPr>
                <w:rFonts w:hint="default" w:asciiTheme="minorAscii" w:hAnsiTheme="minorAscii"/>
                <w:b w:val="0"/>
                <w:bCs w:val="0"/>
                <w:i w:val="0"/>
                <w:iCs w:val="0"/>
                <w:sz w:val="24"/>
                <w:szCs w:val="24"/>
                <w:vertAlign w:val="baseline"/>
                <w:lang w:val="en-US"/>
              </w:rPr>
              <w:fldChar w:fldCharType="end"/>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intern@techneai.com</w:t>
            </w:r>
          </w:p>
        </w:tc>
        <w:tc>
          <w:tcPr>
            <w:tcW w:w="1074"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3">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5">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1">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4">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0"/>
  </w:num>
  <w:num w:numId="2">
    <w:abstractNumId w:val="5"/>
  </w:num>
  <w:num w:numId="3">
    <w:abstractNumId w:val="9"/>
  </w:num>
  <w:num w:numId="4">
    <w:abstractNumId w:val="6"/>
  </w:num>
  <w:num w:numId="5">
    <w:abstractNumId w:val="14"/>
  </w:num>
  <w:num w:numId="6">
    <w:abstractNumId w:val="7"/>
  </w:num>
  <w:num w:numId="7">
    <w:abstractNumId w:val="0"/>
  </w:num>
  <w:num w:numId="8">
    <w:abstractNumId w:val="12"/>
  </w:num>
  <w:num w:numId="9">
    <w:abstractNumId w:val="4"/>
  </w:num>
  <w:num w:numId="10">
    <w:abstractNumId w:val="11"/>
  </w:num>
  <w:num w:numId="11">
    <w:abstractNumId w:val="3"/>
  </w:num>
  <w:num w:numId="12">
    <w:abstractNumId w:val="13"/>
  </w:num>
  <w:num w:numId="13">
    <w:abstractNumId w:val="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4B3D0A"/>
    <w:rsid w:val="00D028E2"/>
    <w:rsid w:val="015C4E4C"/>
    <w:rsid w:val="01DF1BA2"/>
    <w:rsid w:val="02117DF2"/>
    <w:rsid w:val="022A2E24"/>
    <w:rsid w:val="02402EC0"/>
    <w:rsid w:val="026E0D49"/>
    <w:rsid w:val="02F20765"/>
    <w:rsid w:val="02F22669"/>
    <w:rsid w:val="02F76DEB"/>
    <w:rsid w:val="02FF463E"/>
    <w:rsid w:val="030A53B3"/>
    <w:rsid w:val="030A5E0C"/>
    <w:rsid w:val="03123218"/>
    <w:rsid w:val="032A08BF"/>
    <w:rsid w:val="03482266"/>
    <w:rsid w:val="03595B8B"/>
    <w:rsid w:val="03E531F1"/>
    <w:rsid w:val="03FF761E"/>
    <w:rsid w:val="04036024"/>
    <w:rsid w:val="04122DBB"/>
    <w:rsid w:val="04A6648F"/>
    <w:rsid w:val="052A3888"/>
    <w:rsid w:val="052E6A0B"/>
    <w:rsid w:val="0547508E"/>
    <w:rsid w:val="063D3082"/>
    <w:rsid w:val="06634889"/>
    <w:rsid w:val="0667732A"/>
    <w:rsid w:val="06927957"/>
    <w:rsid w:val="06A2436E"/>
    <w:rsid w:val="06CB7731"/>
    <w:rsid w:val="0702568C"/>
    <w:rsid w:val="07373BE8"/>
    <w:rsid w:val="07557695"/>
    <w:rsid w:val="076034A7"/>
    <w:rsid w:val="07621BE9"/>
    <w:rsid w:val="07B264E2"/>
    <w:rsid w:val="07D14A60"/>
    <w:rsid w:val="07E0507A"/>
    <w:rsid w:val="08344B05"/>
    <w:rsid w:val="084B71B4"/>
    <w:rsid w:val="085801BC"/>
    <w:rsid w:val="08E66B26"/>
    <w:rsid w:val="08F203BB"/>
    <w:rsid w:val="09A87DA0"/>
    <w:rsid w:val="0A2168AE"/>
    <w:rsid w:val="0A316B49"/>
    <w:rsid w:val="0A54477F"/>
    <w:rsid w:val="0A9C10C4"/>
    <w:rsid w:val="0A9E5E78"/>
    <w:rsid w:val="0AB21872"/>
    <w:rsid w:val="0ACB34C4"/>
    <w:rsid w:val="0AD61B81"/>
    <w:rsid w:val="0AF05C82"/>
    <w:rsid w:val="0B603C52"/>
    <w:rsid w:val="0B82196E"/>
    <w:rsid w:val="0C510D41"/>
    <w:rsid w:val="0C5603BC"/>
    <w:rsid w:val="0C611412"/>
    <w:rsid w:val="0CB54732"/>
    <w:rsid w:val="0D214C69"/>
    <w:rsid w:val="0D333DBB"/>
    <w:rsid w:val="0D39103F"/>
    <w:rsid w:val="0DC12675"/>
    <w:rsid w:val="0DC950AB"/>
    <w:rsid w:val="0E20133D"/>
    <w:rsid w:val="0E7664C8"/>
    <w:rsid w:val="0E9647FF"/>
    <w:rsid w:val="0EB4052B"/>
    <w:rsid w:val="0ED07E5C"/>
    <w:rsid w:val="0EE213FB"/>
    <w:rsid w:val="0EE54141"/>
    <w:rsid w:val="0F0D45F7"/>
    <w:rsid w:val="0F1605D0"/>
    <w:rsid w:val="0F1F345E"/>
    <w:rsid w:val="0F4B4E77"/>
    <w:rsid w:val="0FA57681"/>
    <w:rsid w:val="0FA97F25"/>
    <w:rsid w:val="0FB04F4B"/>
    <w:rsid w:val="0FEC3AAB"/>
    <w:rsid w:val="1056041C"/>
    <w:rsid w:val="10685029"/>
    <w:rsid w:val="110440A7"/>
    <w:rsid w:val="11295A20"/>
    <w:rsid w:val="1173262D"/>
    <w:rsid w:val="117D67C0"/>
    <w:rsid w:val="11853BCD"/>
    <w:rsid w:val="11D861DF"/>
    <w:rsid w:val="11E00A63"/>
    <w:rsid w:val="11FF5A95"/>
    <w:rsid w:val="12141562"/>
    <w:rsid w:val="121E2AC6"/>
    <w:rsid w:val="128175D7"/>
    <w:rsid w:val="128820E1"/>
    <w:rsid w:val="129E6898"/>
    <w:rsid w:val="12B719C0"/>
    <w:rsid w:val="12D46D72"/>
    <w:rsid w:val="136F49F2"/>
    <w:rsid w:val="13B660AC"/>
    <w:rsid w:val="13B74DE6"/>
    <w:rsid w:val="14AE3227"/>
    <w:rsid w:val="14FB79FC"/>
    <w:rsid w:val="14FF0269"/>
    <w:rsid w:val="151D7BB0"/>
    <w:rsid w:val="15262A3E"/>
    <w:rsid w:val="152E36CE"/>
    <w:rsid w:val="157518C4"/>
    <w:rsid w:val="15763AC2"/>
    <w:rsid w:val="15807C55"/>
    <w:rsid w:val="15AA74A1"/>
    <w:rsid w:val="15AB651B"/>
    <w:rsid w:val="15B605E5"/>
    <w:rsid w:val="15F3690F"/>
    <w:rsid w:val="1628354E"/>
    <w:rsid w:val="16604D44"/>
    <w:rsid w:val="168C360A"/>
    <w:rsid w:val="16A21031"/>
    <w:rsid w:val="16EB272A"/>
    <w:rsid w:val="174156B7"/>
    <w:rsid w:val="17494CC2"/>
    <w:rsid w:val="174E1D63"/>
    <w:rsid w:val="17507ED0"/>
    <w:rsid w:val="17B96D57"/>
    <w:rsid w:val="180C2802"/>
    <w:rsid w:val="18232427"/>
    <w:rsid w:val="183F5EE7"/>
    <w:rsid w:val="18847755"/>
    <w:rsid w:val="188C65D3"/>
    <w:rsid w:val="18D212C6"/>
    <w:rsid w:val="18D2785B"/>
    <w:rsid w:val="18D3055C"/>
    <w:rsid w:val="18D944D4"/>
    <w:rsid w:val="18ED3174"/>
    <w:rsid w:val="19E13681"/>
    <w:rsid w:val="19F17E3E"/>
    <w:rsid w:val="1A0D12DF"/>
    <w:rsid w:val="1A3E3A1B"/>
    <w:rsid w:val="1A8C739D"/>
    <w:rsid w:val="1AAA694D"/>
    <w:rsid w:val="1AFA79D1"/>
    <w:rsid w:val="1B0E324B"/>
    <w:rsid w:val="1B6A5707"/>
    <w:rsid w:val="1B722B13"/>
    <w:rsid w:val="1B795D21"/>
    <w:rsid w:val="1BE93A56"/>
    <w:rsid w:val="1C530F07"/>
    <w:rsid w:val="1CAA1916"/>
    <w:rsid w:val="1CB112A1"/>
    <w:rsid w:val="1CEC1BB4"/>
    <w:rsid w:val="1D0609AB"/>
    <w:rsid w:val="1D083EAE"/>
    <w:rsid w:val="1D143544"/>
    <w:rsid w:val="1DBE5F5B"/>
    <w:rsid w:val="1DC92B02"/>
    <w:rsid w:val="1DFA253D"/>
    <w:rsid w:val="1DFC5A40"/>
    <w:rsid w:val="1E0D6972"/>
    <w:rsid w:val="1E845724"/>
    <w:rsid w:val="1EA416D1"/>
    <w:rsid w:val="1EAF37D3"/>
    <w:rsid w:val="1EFF6567"/>
    <w:rsid w:val="1F3879C6"/>
    <w:rsid w:val="1F7929AE"/>
    <w:rsid w:val="1FE04BDC"/>
    <w:rsid w:val="2017552F"/>
    <w:rsid w:val="20323461"/>
    <w:rsid w:val="203258BB"/>
    <w:rsid w:val="20963186"/>
    <w:rsid w:val="20A74EA9"/>
    <w:rsid w:val="20AC6A7E"/>
    <w:rsid w:val="21A85CF8"/>
    <w:rsid w:val="21BF6CED"/>
    <w:rsid w:val="21F94FCB"/>
    <w:rsid w:val="23161447"/>
    <w:rsid w:val="23B4511E"/>
    <w:rsid w:val="23B91729"/>
    <w:rsid w:val="248144B4"/>
    <w:rsid w:val="249F0722"/>
    <w:rsid w:val="24CA2C17"/>
    <w:rsid w:val="24D06CF2"/>
    <w:rsid w:val="24DE5462"/>
    <w:rsid w:val="24E04D0A"/>
    <w:rsid w:val="25510545"/>
    <w:rsid w:val="2561056D"/>
    <w:rsid w:val="25762D04"/>
    <w:rsid w:val="260470EF"/>
    <w:rsid w:val="260F5480"/>
    <w:rsid w:val="26675B0F"/>
    <w:rsid w:val="267F0FB7"/>
    <w:rsid w:val="269B7263"/>
    <w:rsid w:val="27187EB1"/>
    <w:rsid w:val="27457A1B"/>
    <w:rsid w:val="27D537E2"/>
    <w:rsid w:val="27DFBDC0"/>
    <w:rsid w:val="27E53D82"/>
    <w:rsid w:val="28460DF5"/>
    <w:rsid w:val="286420D2"/>
    <w:rsid w:val="28703966"/>
    <w:rsid w:val="2891771E"/>
    <w:rsid w:val="29267C11"/>
    <w:rsid w:val="29772E93"/>
    <w:rsid w:val="29C33313"/>
    <w:rsid w:val="29F205DF"/>
    <w:rsid w:val="2A1B5CDA"/>
    <w:rsid w:val="2A30159C"/>
    <w:rsid w:val="2A346ACA"/>
    <w:rsid w:val="2AEB407A"/>
    <w:rsid w:val="2B503D9E"/>
    <w:rsid w:val="2B9F159F"/>
    <w:rsid w:val="2B9F73A1"/>
    <w:rsid w:val="2BAE1BB9"/>
    <w:rsid w:val="2C021643"/>
    <w:rsid w:val="2C1A2C71"/>
    <w:rsid w:val="2C216675"/>
    <w:rsid w:val="2CE53E34"/>
    <w:rsid w:val="2D0830EF"/>
    <w:rsid w:val="2D323F34"/>
    <w:rsid w:val="2D5503E3"/>
    <w:rsid w:val="2D680B8A"/>
    <w:rsid w:val="2D776C27"/>
    <w:rsid w:val="2D9716DA"/>
    <w:rsid w:val="2DFA397D"/>
    <w:rsid w:val="2E210F37"/>
    <w:rsid w:val="2E4B28BB"/>
    <w:rsid w:val="2E7F3B7F"/>
    <w:rsid w:val="2EF23F15"/>
    <w:rsid w:val="2F2111E1"/>
    <w:rsid w:val="2F27243C"/>
    <w:rsid w:val="2F45269A"/>
    <w:rsid w:val="2F4F0A2B"/>
    <w:rsid w:val="2F6A4E58"/>
    <w:rsid w:val="2FDF7015"/>
    <w:rsid w:val="2FEC412C"/>
    <w:rsid w:val="2FF46FBA"/>
    <w:rsid w:val="302F391C"/>
    <w:rsid w:val="305118D2"/>
    <w:rsid w:val="30707442"/>
    <w:rsid w:val="30853026"/>
    <w:rsid w:val="308E71B9"/>
    <w:rsid w:val="30A5355B"/>
    <w:rsid w:val="30B8257C"/>
    <w:rsid w:val="30BE4485"/>
    <w:rsid w:val="30C61284"/>
    <w:rsid w:val="30E03740"/>
    <w:rsid w:val="318C5DD7"/>
    <w:rsid w:val="31B5788D"/>
    <w:rsid w:val="31C4473C"/>
    <w:rsid w:val="31F97D80"/>
    <w:rsid w:val="321E5346"/>
    <w:rsid w:val="32223D4C"/>
    <w:rsid w:val="3265353C"/>
    <w:rsid w:val="32786CD9"/>
    <w:rsid w:val="327C0F63"/>
    <w:rsid w:val="32946609"/>
    <w:rsid w:val="32A93554"/>
    <w:rsid w:val="32CD1C66"/>
    <w:rsid w:val="33535743"/>
    <w:rsid w:val="33DA6921"/>
    <w:rsid w:val="34224B16"/>
    <w:rsid w:val="349E40E0"/>
    <w:rsid w:val="34E622D6"/>
    <w:rsid w:val="35033E04"/>
    <w:rsid w:val="35592615"/>
    <w:rsid w:val="357069B7"/>
    <w:rsid w:val="35F40295"/>
    <w:rsid w:val="36476A1A"/>
    <w:rsid w:val="365C3F6C"/>
    <w:rsid w:val="367155F0"/>
    <w:rsid w:val="369C6124"/>
    <w:rsid w:val="36BF0C62"/>
    <w:rsid w:val="36F16EB3"/>
    <w:rsid w:val="36F52036"/>
    <w:rsid w:val="370A1BBA"/>
    <w:rsid w:val="37123142"/>
    <w:rsid w:val="374146B4"/>
    <w:rsid w:val="37661A13"/>
    <w:rsid w:val="379231B9"/>
    <w:rsid w:val="37A44758"/>
    <w:rsid w:val="37AF4CE7"/>
    <w:rsid w:val="37CD13CC"/>
    <w:rsid w:val="37E31CBE"/>
    <w:rsid w:val="380B7600"/>
    <w:rsid w:val="38763CC4"/>
    <w:rsid w:val="38A56FE4"/>
    <w:rsid w:val="38DE1E0E"/>
    <w:rsid w:val="3952319A"/>
    <w:rsid w:val="39724E55"/>
    <w:rsid w:val="397855D8"/>
    <w:rsid w:val="399051FD"/>
    <w:rsid w:val="39A76BCA"/>
    <w:rsid w:val="3A883217"/>
    <w:rsid w:val="3AAB6C4F"/>
    <w:rsid w:val="3AB36BA1"/>
    <w:rsid w:val="3AC5307C"/>
    <w:rsid w:val="3ACB1702"/>
    <w:rsid w:val="3AE96733"/>
    <w:rsid w:val="3AF925D3"/>
    <w:rsid w:val="3B5E1E02"/>
    <w:rsid w:val="3B799C4F"/>
    <w:rsid w:val="3BB2617C"/>
    <w:rsid w:val="3BBD1F8F"/>
    <w:rsid w:val="3BCC3419"/>
    <w:rsid w:val="3BE47317"/>
    <w:rsid w:val="3C0E4317"/>
    <w:rsid w:val="3C635FA0"/>
    <w:rsid w:val="3C7C494B"/>
    <w:rsid w:val="3CDF6BEE"/>
    <w:rsid w:val="3D267363"/>
    <w:rsid w:val="3D5026AD"/>
    <w:rsid w:val="3D694581"/>
    <w:rsid w:val="3D993E1E"/>
    <w:rsid w:val="3DA72FF0"/>
    <w:rsid w:val="3DB71065"/>
    <w:rsid w:val="3E2171FA"/>
    <w:rsid w:val="3EBC06FE"/>
    <w:rsid w:val="3EC71472"/>
    <w:rsid w:val="3EFC7E62"/>
    <w:rsid w:val="3F216F38"/>
    <w:rsid w:val="3FAE3509"/>
    <w:rsid w:val="3FD60E4A"/>
    <w:rsid w:val="40C06849"/>
    <w:rsid w:val="412752F4"/>
    <w:rsid w:val="41285739"/>
    <w:rsid w:val="419A7831"/>
    <w:rsid w:val="425B1E6E"/>
    <w:rsid w:val="4281682A"/>
    <w:rsid w:val="43135D99"/>
    <w:rsid w:val="43380557"/>
    <w:rsid w:val="436C61F2"/>
    <w:rsid w:val="438B2560"/>
    <w:rsid w:val="43A61036"/>
    <w:rsid w:val="43B37EA1"/>
    <w:rsid w:val="43B768A7"/>
    <w:rsid w:val="446F063A"/>
    <w:rsid w:val="449547BA"/>
    <w:rsid w:val="44993616"/>
    <w:rsid w:val="452B24C8"/>
    <w:rsid w:val="45656174"/>
    <w:rsid w:val="458A4224"/>
    <w:rsid w:val="458D5B36"/>
    <w:rsid w:val="45B354AB"/>
    <w:rsid w:val="45F02CCE"/>
    <w:rsid w:val="460F66F5"/>
    <w:rsid w:val="46FD0CE4"/>
    <w:rsid w:val="47DA45FF"/>
    <w:rsid w:val="48552138"/>
    <w:rsid w:val="487274EA"/>
    <w:rsid w:val="489930A3"/>
    <w:rsid w:val="48CD5281"/>
    <w:rsid w:val="494D48CF"/>
    <w:rsid w:val="49530BA5"/>
    <w:rsid w:val="49690EEF"/>
    <w:rsid w:val="497D2E9F"/>
    <w:rsid w:val="4AA31CC7"/>
    <w:rsid w:val="4ABD162D"/>
    <w:rsid w:val="4AC50C38"/>
    <w:rsid w:val="4B6F10D1"/>
    <w:rsid w:val="4BBF46D3"/>
    <w:rsid w:val="4C210EF5"/>
    <w:rsid w:val="4C89181E"/>
    <w:rsid w:val="4D316B33"/>
    <w:rsid w:val="4D917E52"/>
    <w:rsid w:val="4DAB7D28"/>
    <w:rsid w:val="4E217FEA"/>
    <w:rsid w:val="4E244E42"/>
    <w:rsid w:val="4E3D6F1E"/>
    <w:rsid w:val="4E4D0205"/>
    <w:rsid w:val="4EE01C53"/>
    <w:rsid w:val="4EF02A66"/>
    <w:rsid w:val="4F011A35"/>
    <w:rsid w:val="4F0D06C9"/>
    <w:rsid w:val="4F26376B"/>
    <w:rsid w:val="4F4B6E23"/>
    <w:rsid w:val="4F4C0128"/>
    <w:rsid w:val="4F4C48A4"/>
    <w:rsid w:val="4FFF344E"/>
    <w:rsid w:val="501A3245"/>
    <w:rsid w:val="505B3C87"/>
    <w:rsid w:val="50D95330"/>
    <w:rsid w:val="51457EE2"/>
    <w:rsid w:val="515643D1"/>
    <w:rsid w:val="516C1007"/>
    <w:rsid w:val="51881C50"/>
    <w:rsid w:val="51A84704"/>
    <w:rsid w:val="51D3684D"/>
    <w:rsid w:val="51F50086"/>
    <w:rsid w:val="521066B1"/>
    <w:rsid w:val="522A7116"/>
    <w:rsid w:val="525C4C16"/>
    <w:rsid w:val="527F3939"/>
    <w:rsid w:val="528F09DB"/>
    <w:rsid w:val="52925986"/>
    <w:rsid w:val="532064EF"/>
    <w:rsid w:val="53653760"/>
    <w:rsid w:val="539442AF"/>
    <w:rsid w:val="53C12435"/>
    <w:rsid w:val="53D10891"/>
    <w:rsid w:val="53D8021B"/>
    <w:rsid w:val="53E21E30"/>
    <w:rsid w:val="53EC1861"/>
    <w:rsid w:val="54473D53"/>
    <w:rsid w:val="546148FC"/>
    <w:rsid w:val="54687EC8"/>
    <w:rsid w:val="54B13782"/>
    <w:rsid w:val="553923E1"/>
    <w:rsid w:val="55910872"/>
    <w:rsid w:val="55C4357D"/>
    <w:rsid w:val="55EB2205"/>
    <w:rsid w:val="55FC7F21"/>
    <w:rsid w:val="565A5D3C"/>
    <w:rsid w:val="565B37BE"/>
    <w:rsid w:val="56630BCA"/>
    <w:rsid w:val="5664664B"/>
    <w:rsid w:val="566E49DC"/>
    <w:rsid w:val="568410FF"/>
    <w:rsid w:val="568B2C88"/>
    <w:rsid w:val="569C35B8"/>
    <w:rsid w:val="56A65F31"/>
    <w:rsid w:val="56BC6CDA"/>
    <w:rsid w:val="56BD255D"/>
    <w:rsid w:val="56D04F7D"/>
    <w:rsid w:val="57435CBA"/>
    <w:rsid w:val="58035BF4"/>
    <w:rsid w:val="580759F7"/>
    <w:rsid w:val="587F7F7C"/>
    <w:rsid w:val="58F145F0"/>
    <w:rsid w:val="5911172D"/>
    <w:rsid w:val="592461CF"/>
    <w:rsid w:val="59301FE2"/>
    <w:rsid w:val="59454840"/>
    <w:rsid w:val="594E3790"/>
    <w:rsid w:val="595B2360"/>
    <w:rsid w:val="599D6D92"/>
    <w:rsid w:val="59F62334"/>
    <w:rsid w:val="59F81A2B"/>
    <w:rsid w:val="5A591444"/>
    <w:rsid w:val="5A5C5ECC"/>
    <w:rsid w:val="5A7E3E82"/>
    <w:rsid w:val="5AB865E5"/>
    <w:rsid w:val="5AFC44A5"/>
    <w:rsid w:val="5B6231FB"/>
    <w:rsid w:val="5B6B6089"/>
    <w:rsid w:val="5B961E3B"/>
    <w:rsid w:val="5BCC7C20"/>
    <w:rsid w:val="5C155F84"/>
    <w:rsid w:val="5C8310BE"/>
    <w:rsid w:val="5CE323F2"/>
    <w:rsid w:val="5D934795"/>
    <w:rsid w:val="5DBC7B57"/>
    <w:rsid w:val="5DC913EB"/>
    <w:rsid w:val="5DED6128"/>
    <w:rsid w:val="5E71B4E9"/>
    <w:rsid w:val="5EAE61E6"/>
    <w:rsid w:val="5EDC3864"/>
    <w:rsid w:val="5F212CA2"/>
    <w:rsid w:val="5FC8476A"/>
    <w:rsid w:val="600532C8"/>
    <w:rsid w:val="603F1DF4"/>
    <w:rsid w:val="604265FC"/>
    <w:rsid w:val="60553F98"/>
    <w:rsid w:val="60813B63"/>
    <w:rsid w:val="60D61108"/>
    <w:rsid w:val="60FD2E3F"/>
    <w:rsid w:val="610B3AC7"/>
    <w:rsid w:val="61834A0A"/>
    <w:rsid w:val="61D71F16"/>
    <w:rsid w:val="62184EFE"/>
    <w:rsid w:val="627A5E9C"/>
    <w:rsid w:val="62B21879"/>
    <w:rsid w:val="62CE5926"/>
    <w:rsid w:val="62E4334D"/>
    <w:rsid w:val="63AA7892"/>
    <w:rsid w:val="63CE45CF"/>
    <w:rsid w:val="63F25A88"/>
    <w:rsid w:val="63FF2BB3"/>
    <w:rsid w:val="65235DFA"/>
    <w:rsid w:val="65474D35"/>
    <w:rsid w:val="656136E1"/>
    <w:rsid w:val="65724C80"/>
    <w:rsid w:val="65752381"/>
    <w:rsid w:val="65A818D7"/>
    <w:rsid w:val="65F57C6C"/>
    <w:rsid w:val="663A6C47"/>
    <w:rsid w:val="678F3CF5"/>
    <w:rsid w:val="67903975"/>
    <w:rsid w:val="679D5209"/>
    <w:rsid w:val="67AF09A7"/>
    <w:rsid w:val="680E4244"/>
    <w:rsid w:val="6855023B"/>
    <w:rsid w:val="68CD6E3C"/>
    <w:rsid w:val="68EC15C7"/>
    <w:rsid w:val="69112B6D"/>
    <w:rsid w:val="6924760F"/>
    <w:rsid w:val="6941113D"/>
    <w:rsid w:val="699C2751"/>
    <w:rsid w:val="69AE046D"/>
    <w:rsid w:val="69DE22C1"/>
    <w:rsid w:val="6A095303"/>
    <w:rsid w:val="6A886ED6"/>
    <w:rsid w:val="6A9C6F1F"/>
    <w:rsid w:val="6AD4581E"/>
    <w:rsid w:val="6ADC6960"/>
    <w:rsid w:val="6B2547D6"/>
    <w:rsid w:val="6BD4154A"/>
    <w:rsid w:val="6C6D5DF2"/>
    <w:rsid w:val="6C837F96"/>
    <w:rsid w:val="6C9D43C3"/>
    <w:rsid w:val="6CB30AE5"/>
    <w:rsid w:val="6D4A2516"/>
    <w:rsid w:val="6D830A62"/>
    <w:rsid w:val="6DD96349"/>
    <w:rsid w:val="6DFD7802"/>
    <w:rsid w:val="6E5874A5"/>
    <w:rsid w:val="6E6A23B4"/>
    <w:rsid w:val="6EC05342"/>
    <w:rsid w:val="6EE4427D"/>
    <w:rsid w:val="6F4F1188"/>
    <w:rsid w:val="6F7D3176"/>
    <w:rsid w:val="6F8A028E"/>
    <w:rsid w:val="6FA9732B"/>
    <w:rsid w:val="703C22B0"/>
    <w:rsid w:val="708539A9"/>
    <w:rsid w:val="714315B0"/>
    <w:rsid w:val="71A86F83"/>
    <w:rsid w:val="71BB3A25"/>
    <w:rsid w:val="72445F08"/>
    <w:rsid w:val="72534E9D"/>
    <w:rsid w:val="72606732"/>
    <w:rsid w:val="72AE7B36"/>
    <w:rsid w:val="73691968"/>
    <w:rsid w:val="73732D77"/>
    <w:rsid w:val="73FA42D5"/>
    <w:rsid w:val="74024296"/>
    <w:rsid w:val="74096AED"/>
    <w:rsid w:val="740C41EF"/>
    <w:rsid w:val="758E216C"/>
    <w:rsid w:val="75AD1D3D"/>
    <w:rsid w:val="75C46DC3"/>
    <w:rsid w:val="760D04BC"/>
    <w:rsid w:val="762863FA"/>
    <w:rsid w:val="76D3319B"/>
    <w:rsid w:val="77062C53"/>
    <w:rsid w:val="770C03DF"/>
    <w:rsid w:val="77193E72"/>
    <w:rsid w:val="777D1E86"/>
    <w:rsid w:val="77845D5F"/>
    <w:rsid w:val="779E794E"/>
    <w:rsid w:val="77C231F8"/>
    <w:rsid w:val="78086307"/>
    <w:rsid w:val="79507314"/>
    <w:rsid w:val="7A3E6F9D"/>
    <w:rsid w:val="7A3F054C"/>
    <w:rsid w:val="7A9750AD"/>
    <w:rsid w:val="7ABC786B"/>
    <w:rsid w:val="7B539F84"/>
    <w:rsid w:val="7B5F4AF6"/>
    <w:rsid w:val="7B6F730F"/>
    <w:rsid w:val="7BC55B1F"/>
    <w:rsid w:val="7BE349AD"/>
    <w:rsid w:val="7BF662EE"/>
    <w:rsid w:val="7C225EB9"/>
    <w:rsid w:val="7CDE07EA"/>
    <w:rsid w:val="7CE34C72"/>
    <w:rsid w:val="7D063F2D"/>
    <w:rsid w:val="7D152EC3"/>
    <w:rsid w:val="7DD91D07"/>
    <w:rsid w:val="7DF73AFA"/>
    <w:rsid w:val="7DFEA712"/>
    <w:rsid w:val="7E194CEF"/>
    <w:rsid w:val="7E6ECCFE"/>
    <w:rsid w:val="7E7A3A8F"/>
    <w:rsid w:val="7E994343"/>
    <w:rsid w:val="7EF014CF"/>
    <w:rsid w:val="7EF8435D"/>
    <w:rsid w:val="7F0439F3"/>
    <w:rsid w:val="7F0B7D77"/>
    <w:rsid w:val="7FD0419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2024-02-21T09:02:35Z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